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podwyżka akcyzy od piwa już od nowego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stycznia 2025 roku po raz kolejny zostanie podniesiona stawka akcyzy od piwa.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obecnego poziomu ok. 125 zł/hl wzrośnie o 5%, do poziomu ok. 131 zł/hl. Tym samym, skumulowana wielkość podwyżek akcyzy określona w tzw. Mapie Akcyzowej przyjętej w 2021 r. przez Rząd wyniesie ponad 27%.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podwyżka akcyzy od piwa w Polsce sprawi, że powiększy się różnica pomiędzy stawką akcyzy obowiązującą w Polsce, a stawkami akcyzy w ościennych krajach UE. Już obecnie akcyza w Polsce znacząco przewyższa stawki tego podatku stosowane w Niemczech, Czechach i na Słowacji, i wynosi 28,5 Euro za 1 hl.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Stawki akcyzy od piwa w 1 stycznia 2025 r., w EUR, za 1 hektolitr piwa (12 stopni Plato)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Każdy czynnik powodujący podwyżkę cen piwa w Polsce wiąże się z negatywnymi skutkami dla branży: obniża konkurencyjność naszego rynku i powoduje hamowanie popytu.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Morzycki, dyrektor generalny Związku Pracodawców Przemysłu Piwowarskiego – Browary Polskie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2018 roku polski rynek piwa skurczył się już o ponad 6 milionów hl. To się przekłada wprost na zamykanie browarów i redukcję całego łańcucha wartości branży, czyli problemy gospodarcze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sektorach powiązanych z produkcją piwa, zwłaszcza w rolnictwie.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Podwyżki stawek akcyzy w połączeniu z rosnącymi kosztami produkcji mają wpływ na systematyczny wzrost średniej ceny piwa na krajowym rynku. W ciągu ostatnich 3 lat wzrost średniej ceny piwa w Polsce wyniósł ponad 35%. Obecnie piwo w Polsce jest już droższe niż w sąsiednich Niemczech, Czechach i na Słowacji, i zbliża się do poziomów notowanych w znacznie bogatszych krajach Europy Zachodniej, takich jak Austria. W efekcie, według danych Krajowego Centrum Przeciwdziałania Uzależnieniom, ekonomiczna dostępność piwa w Polce w 2023 roku spadła o 2 %.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Średnie ceny za 1 litr piwa w EUR w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Wyższe stawki akcyzy nie oznaczają jednak, że w równym stopniu rosną wpływy z tego tytułu do budżetu państwa. Jest to związane z kurczącym się rynkiem, czyli spadkiem wolumenu. W 2023 r. pomimo wzrostu akcyzy o 5%, wpływy budżetowe z tego tytułu wzrosły jedynie o 1%. Pomimo tego Polska i tak należy do czołówki krajów UE, w których fiskus ściąga z tytułu piwnej akcyzy najwyższe kwoty. Browary w Polsce pod tym względem ustępują jedynie browarom we Francji. Wpływy do budżetu z akcyzy od piwa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Polsce są większe niż w Niemczech, a nawet Niemczech i Czechach liczonych łącznie. W 2023 r. ta kwota wyniosła ponad 3,6 mld złotych (846 mln EUR).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akcyza na piwo w Polsce jest efektem systematycznego podnoszenia stawek na przestrzeni ostatnich 2 dekad. Od 2000 roku stawki wzrosły o 86%. W analogicznym okresie czasu akcyza na wyroby spirytusowe wzrosła jedynie o 26%.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Zdarza nam się słyszeć głosy o niskiej akcyzie od piwa albo czytamy o cudownych receptach gospodarczych, według których można by podnieść akcyzę od piwa o kilkaset procent i zapewnić budżetowi miliardy złotych. Takie poglądy świadczą o niskiej świadomości ekonomicznej lub mają za zadanie świadomie służyć pogorszeniu kondycji sektora piwowarskiego w Polsce. </w:t>
      </w:r>
      <w:r>
        <w:rPr>
          <w:rFonts w:ascii="calibri" w:hAnsi="calibri" w:eastAsia="calibri" w:cs="calibri"/>
          <w:sz w:val="24"/>
          <w:szCs w:val="24"/>
        </w:rPr>
        <w:t xml:space="preserve">– konkluduje dyrektor Browarów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OBLICZA AKCYZĘ ZA NAPOJE ALKOHOLOWE W POLSCE?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Akcyza zarówno od piwa, jak i mocnego alkoholu oparta jest na dyrektywie UE. Obliczana jest od tego, </w:t>
      </w:r>
    </w:p>
    <w:p>
      <w:r>
        <w:rPr>
          <w:rFonts w:ascii="calibri" w:hAnsi="calibri" w:eastAsia="calibri" w:cs="calibri"/>
          <w:sz w:val="24"/>
          <w:szCs w:val="24"/>
        </w:rPr>
        <w:t xml:space="preserve"> z czego wytwarzany jest dany produkt. Wódka powstaje ze spirytusu, więc to spirytus jest podstawą opodatkowania akcyzą. Alkohol w piwie jest wynikiem naturalnej fermentacji brzeczki piwnej, więc podstawą opodatkowania jest ekstrakt, z którego powstaje piwo.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sposób opodatkowania akcyzą jest charakterystyczny dla rynków o rozwiniętym sektorze browarniczym i obowiązywał w Polsce już przed II Wojną Światową. Jest to forma obliczania piwnej akcyzy powszechnie stosowana w Unii Europejskiej i w pełni zgodna z jej prawodawstwem.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2026-06-25T19:28:42+02:00</dcterms:created>
  <dcterms:modified xsi:type="dcterms:W3CDTF">2026-06-25T19:28:42+02:00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